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Il programma completo di NON SOLO PER FICTION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F009B3"/>
          <w:sz w:val="21"/>
          <w:szCs w:val="21"/>
          <w:lang w:eastAsia="it-IT"/>
        </w:rPr>
        <w:t>2 DICEMBRE LICEO MONTALE ORE 9:00 - 13:00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1° e 2° episodio della prima stagione di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Romanzo criminale - La serie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(regia di Stefano Sollima) 50’x2.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 seguire incontro con gli attori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Daniela Virgilio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 xml:space="preserve">Alessandro </w:t>
      </w:r>
      <w:proofErr w:type="spellStart"/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Roja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insieme al mensile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CIAK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Alice nella città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Daniela Virgilio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dopo il debutto cinematografico da protagonista nel film horror Il bosco fuori diretto nel 2006 da Gabriele Albanesi, ottiene fama e successo grazie al ruolo di Patrizia in Romanzo Criminale, a cui seguono svariati film come Good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As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You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- Tutti i colori dell’amore,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Vinodentro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e Questione di Karma. La sua ultima fiction è Rosy Abate - La serie.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 xml:space="preserve">Alessandro </w:t>
      </w:r>
      <w:proofErr w:type="spellStart"/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Roja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dopo il grande successo televisivo della serie tratta dall’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omo¬nimo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libro di Giancarlo De Cataldo, Romanzo criminale, ha visto spalancarsi le porte del cinema. Sono arrivati, uno dopo l’altro, prima piccoli ruoli e poi parti sempre p</w:t>
      </w:r>
      <w:bookmarkStart w:id="0" w:name="_GoBack"/>
      <w:bookmarkEnd w:id="0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iù importanti. Da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Feisbum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! Il film a Magnifica presenza, da Diaz -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Don’t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clean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up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this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blood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a Song ‘e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Napule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. L’attore è anche molto richiesto come protagonista di fiction televisive: è stato nel cast di Distretto di polizia, Don Matteo, È arrivata la felicità, Tutto può succedere, 1992 e La compagnia del cigno. Nel 2014 ha ricevuto la candidatura ai Nastri d’argento e al Globo d’oro come miglior attore protagonista per Song ‘e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Napule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dei Manetti Bros. Nello stesso anno ha ricevuto il Nastro d’argento come miglior attore di cortometraggio per La fuga.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F009B3"/>
          <w:sz w:val="21"/>
          <w:szCs w:val="21"/>
          <w:lang w:eastAsia="it-IT"/>
        </w:rPr>
        <w:t>3 DICEMBRE LICEO MONTALE ORE 9:00 - 13:00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3° e 4° episodio della prima stagione di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Romanzo criminale - La serie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(regia di Stefano Sollima) 50’x2.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 seguire incontro con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Edoardo Levantini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della Commissione Antimafia, realizzato insieme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all’Osservatorio per la legalità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della Regione Lazio e Alice nella città.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F009B3"/>
          <w:sz w:val="21"/>
          <w:szCs w:val="21"/>
          <w:lang w:eastAsia="it-IT"/>
        </w:rPr>
        <w:t>4 DICEMBRE WEGIL ORE 11:00 - 14:00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PARTECIPANO GLI STUDENTI DEL LICEO KENNEDY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1° e 2° episodio della seconda stagione di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Suburra – La serie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 (regia Andrea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Mo¬laioli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e Piero Messina) 48’x2.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 seguire incontro con l’attrice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Federica Sabatini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 xml:space="preserve">Gianpiero </w:t>
      </w:r>
      <w:proofErr w:type="spellStart"/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Cioffredi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Presi¬dente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dell’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Osservatorio per la legalità della Regione Lazio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Alice nella città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Federica Sabatini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attrice italiana di cinema, teatro e televisione. Dal 2016 nel cast di varie serie tra cui Tutti insieme all’improvviso di Francesco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Pavolini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e in Un passo dal cielo 4 di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Jan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Maria Michelini, nel film per Rai Uno Nozze romane di Olaf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Kreinsen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e nella fiction Provaci ancora prof! 7, nel film Saremo giovani e bellissimi, per la regia di Letizia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Lamartire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nella seconda stagione di Rosy Abate - la serie, nel film Liberi di scegliere, diretto da Giacomo Campiotti e su Netflix tra le protagoniste della seconda stagione di Suburra - la serie.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F009B3"/>
          <w:sz w:val="21"/>
          <w:szCs w:val="21"/>
          <w:lang w:eastAsia="it-IT"/>
        </w:rPr>
        <w:t>5 DICEMBRE CASA INTERNAZIONALE DELLE DONNE ORE 11.00 – 14.00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PARTECIPANO GLI STUDENTI DEL LICEO KENNEDY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1° e 2° episodio di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La mafia uccide solo d’estate - La serie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 (regia di Luca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Ribuoli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) 47’x2.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 seguire incontro con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Anna Foglietta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Angela Curri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insieme al mensile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CIAK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 e </w:t>
      </w: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Alice nella città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Anna Foglietta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attrice di teatro, cinema e fiction, ha ottenuto numerosi riconoscimenti e premi tra cui 4 candidature ai David di Donatello per i film Nessuno mi può giudicare, per Noi e la Giulia diretto e interpretato da Edoardo Leo, Perfetti sconosciuti di Paolo Genovese e nel 2019 per il film Un giorno all’improvviso e ai Nastri d’argento per un episodio del film Colpi di fulmine diretto da Neri Parenti, per Il 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lastRenderedPageBreak/>
        <w:t xml:space="preserve">contagio e per la partecipazione al secondo film diretto da Alessandro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Gassmann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Il premio. Tra le sue interpretazioni nelle serie tv: La squadra, Distretto di Polizia e La mafia uccide solo d’estate 1-2. </w:t>
      </w:r>
    </w:p>
    <w:p w:rsidR="00D13437" w:rsidRPr="00D13437" w:rsidRDefault="00D13437" w:rsidP="00D134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7"/>
          <w:szCs w:val="17"/>
          <w:lang w:eastAsia="it-IT"/>
        </w:rPr>
        <w:t> 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Arial" w:eastAsia="Times New Roman" w:hAnsi="Arial" w:cs="Arial"/>
          <w:b/>
          <w:bCs/>
          <w:color w:val="222222"/>
          <w:sz w:val="21"/>
          <w:szCs w:val="21"/>
          <w:lang w:eastAsia="it-IT"/>
        </w:rPr>
        <w:t>Angela Curri</w:t>
      </w:r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attrice in film, fiction televisive, spot pubblicitari, videoclip e cortometraggi. Tra i suoi lavori ricordiamo Raffaello – Il principe delle arti regia di Luca Viotto Docu-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filmSKY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La Mafia uccide solo d’estate regia di Luca </w:t>
      </w:r>
      <w:proofErr w:type="spellStart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Ribuoli</w:t>
      </w:r>
      <w:proofErr w:type="spellEnd"/>
      <w:r w:rsidRPr="00D13437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, Braccialetti Rossi 2, regia di Campiotti, Francesco regia di Liliana Cavani, Chiedilo al mare (I fantasmi di Porto Palo) con Beppe Fiorello, regia di Alessandro Angelini, Liberi Sognatori – Le Idee Non Si Spezzano Mai: Renata Fonte regia di Fabio Mollo e La mafia uccide solo d’estate 2, oltre a Le avventure di Imma di Francesco Amato.</w:t>
      </w:r>
    </w:p>
    <w:p w:rsidR="00D13437" w:rsidRPr="00D13437" w:rsidRDefault="00D13437" w:rsidP="00D134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3437">
        <w:rPr>
          <w:rFonts w:ascii="Trebuchet MS" w:eastAsia="Times New Roman" w:hAnsi="Trebuchet MS" w:cs="Helvetica"/>
          <w:color w:val="222222"/>
          <w:sz w:val="18"/>
          <w:szCs w:val="18"/>
          <w:lang w:eastAsia="it-IT"/>
        </w:rPr>
        <w:t> </w:t>
      </w:r>
    </w:p>
    <w:p w:rsidR="0036160C" w:rsidRDefault="0036160C"/>
    <w:sectPr w:rsidR="00361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37"/>
    <w:rsid w:val="0036160C"/>
    <w:rsid w:val="00D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3D76"/>
  <w15:chartTrackingRefBased/>
  <w15:docId w15:val="{95CDCB04-AFB4-4DDA-AF4B-659727A3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3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2019-12-02T15:54:00Z</dcterms:created>
  <dcterms:modified xsi:type="dcterms:W3CDTF">2019-12-02T16:04:00Z</dcterms:modified>
</cp:coreProperties>
</file>